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57" w:rsidRDefault="009C5957" w:rsidP="009C5957">
      <w:pPr>
        <w:pStyle w:val="ConsPlusNormal"/>
        <w:jc w:val="right"/>
        <w:outlineLvl w:val="0"/>
      </w:pPr>
      <w:r>
        <w:t>Приложение 19</w:t>
      </w:r>
    </w:p>
    <w:p w:rsidR="009C5957" w:rsidRDefault="009C5957" w:rsidP="009C5957">
      <w:pPr>
        <w:pStyle w:val="ConsPlusNormal"/>
        <w:jc w:val="right"/>
      </w:pPr>
      <w:r>
        <w:t>к Закону Забайкальского края</w:t>
      </w:r>
    </w:p>
    <w:p w:rsidR="009C5957" w:rsidRDefault="009C5957" w:rsidP="009C5957">
      <w:pPr>
        <w:pStyle w:val="ConsPlusNormal"/>
        <w:jc w:val="right"/>
      </w:pPr>
      <w:r>
        <w:t>"О бюджете Забайкальского края на 2024 год</w:t>
      </w:r>
    </w:p>
    <w:p w:rsidR="009C5957" w:rsidRDefault="009C5957" w:rsidP="009C5957">
      <w:pPr>
        <w:pStyle w:val="ConsPlusNormal"/>
        <w:jc w:val="right"/>
      </w:pPr>
      <w:r>
        <w:t>и плановый период 2025 и 2026 годов"</w:t>
      </w:r>
    </w:p>
    <w:p w:rsidR="009C5957" w:rsidRDefault="009C5957" w:rsidP="009C5957">
      <w:pPr>
        <w:pStyle w:val="ConsPlusNormal"/>
        <w:jc w:val="both"/>
      </w:pPr>
    </w:p>
    <w:p w:rsidR="009C5957" w:rsidRDefault="009C5957" w:rsidP="009C5957">
      <w:pPr>
        <w:pStyle w:val="ConsPlusTitle"/>
        <w:jc w:val="center"/>
      </w:pPr>
      <w:bookmarkStart w:id="0" w:name="P107712"/>
      <w:bookmarkEnd w:id="0"/>
      <w:r>
        <w:t>БЮДЖЕТНЫЕ АССИГНОВАНИЯ, НАПРАВЛЯЕМЫЕ</w:t>
      </w:r>
    </w:p>
    <w:p w:rsidR="009C5957" w:rsidRDefault="009C5957" w:rsidP="009C5957">
      <w:pPr>
        <w:pStyle w:val="ConsPlusTitle"/>
        <w:jc w:val="center"/>
      </w:pPr>
      <w:r>
        <w:t>НА ГОСУДАРСТВЕННУЮ ПОДДЕРЖКУ СЕМЬИ И ДЕТЕЙ,</w:t>
      </w:r>
    </w:p>
    <w:p w:rsidR="009C5957" w:rsidRDefault="009C5957" w:rsidP="009C5957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9C5957" w:rsidRDefault="009C5957" w:rsidP="009C59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5957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57" w:rsidRDefault="009C5957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57" w:rsidRDefault="009C5957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957" w:rsidRDefault="009C5957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5957" w:rsidRDefault="009C5957" w:rsidP="008E5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9C5957" w:rsidRDefault="009C5957" w:rsidP="008E52AE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957" w:rsidRDefault="009C5957" w:rsidP="008E52AE">
            <w:pPr>
              <w:pStyle w:val="ConsPlusNormal"/>
            </w:pPr>
          </w:p>
        </w:tc>
      </w:tr>
    </w:tbl>
    <w:p w:rsidR="009C5957" w:rsidRDefault="009C5957" w:rsidP="009C595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958"/>
        <w:gridCol w:w="1770"/>
        <w:gridCol w:w="1771"/>
      </w:tblGrid>
      <w:tr w:rsidR="009C5957" w:rsidTr="008E52AE">
        <w:tc>
          <w:tcPr>
            <w:tcW w:w="571" w:type="dxa"/>
            <w:vMerge w:val="restart"/>
            <w:vAlign w:val="center"/>
          </w:tcPr>
          <w:p w:rsidR="009C5957" w:rsidRDefault="009C5957" w:rsidP="008E52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58" w:type="dxa"/>
            <w:vMerge w:val="restart"/>
            <w:vAlign w:val="center"/>
          </w:tcPr>
          <w:p w:rsidR="009C5957" w:rsidRDefault="009C5957" w:rsidP="008E52A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541" w:type="dxa"/>
            <w:gridSpan w:val="2"/>
            <w:vAlign w:val="center"/>
          </w:tcPr>
          <w:p w:rsidR="009C5957" w:rsidRDefault="009C5957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C5957" w:rsidTr="008E52AE">
        <w:tc>
          <w:tcPr>
            <w:tcW w:w="571" w:type="dxa"/>
            <w:vMerge/>
          </w:tcPr>
          <w:p w:rsidR="009C5957" w:rsidRDefault="009C5957" w:rsidP="008E52AE">
            <w:pPr>
              <w:pStyle w:val="ConsPlusNormal"/>
            </w:pPr>
          </w:p>
        </w:tc>
        <w:tc>
          <w:tcPr>
            <w:tcW w:w="4958" w:type="dxa"/>
            <w:vMerge/>
          </w:tcPr>
          <w:p w:rsidR="009C5957" w:rsidRDefault="009C5957" w:rsidP="008E52AE">
            <w:pPr>
              <w:pStyle w:val="ConsPlusNormal"/>
            </w:pPr>
          </w:p>
        </w:tc>
        <w:tc>
          <w:tcPr>
            <w:tcW w:w="1770" w:type="dxa"/>
            <w:vAlign w:val="center"/>
          </w:tcPr>
          <w:p w:rsidR="009C5957" w:rsidRDefault="009C5957" w:rsidP="008E52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71" w:type="dxa"/>
            <w:vAlign w:val="center"/>
          </w:tcPr>
          <w:p w:rsidR="009C5957" w:rsidRDefault="009C5957" w:rsidP="008E52AE">
            <w:pPr>
              <w:pStyle w:val="ConsPlusNormal"/>
              <w:jc w:val="center"/>
            </w:pPr>
            <w:r>
              <w:t>2026 год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0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4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</w:pP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5 752 088,1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5 202 066,9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</w:pP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</w:pP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</w:pP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995,0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68 117,9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35 816,3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86 880,4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1 520,0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 xml:space="preserve">Обеспечение льготным питанием отдельных </w:t>
            </w:r>
            <w:r>
              <w:lastRenderedPageBreak/>
              <w:t>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lastRenderedPageBreak/>
              <w:t>125 615,3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121 696,4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42 170,4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9 148,7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146 958,9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116 020,9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766 269,8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0,0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635 106,0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50,6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попечения родителей, достигшим возраста 23 лет, на </w:t>
            </w:r>
            <w:r>
              <w:lastRenderedPageBreak/>
              <w:t xml:space="preserve">приобретение благоустроенного жилого помещения в собственность или для полного </w:t>
            </w:r>
            <w:proofErr w:type="gramStart"/>
            <w:r>
              <w:t>погашения</w:t>
            </w:r>
            <w:proofErr w:type="gramEnd"/>
            <w: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lastRenderedPageBreak/>
              <w:t>161 633,5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168 098,8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119,3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619 633,1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1 250,0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74 669,4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2 171 583,6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8 421,6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79 677,4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97,6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 xml:space="preserve">Обеспечение социальной поддержки многодетных семей в части ежемесячной компенсации расходов на оплату жилого </w:t>
            </w:r>
            <w:r>
              <w:lastRenderedPageBreak/>
              <w:t>помещения и коммунальных услуг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lastRenderedPageBreak/>
              <w:t>48 836,6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47 362,8</w:t>
            </w:r>
          </w:p>
        </w:tc>
      </w:tr>
      <w:tr w:rsidR="009C5957" w:rsidTr="008E52AE">
        <w:tc>
          <w:tcPr>
            <w:tcW w:w="571" w:type="dxa"/>
          </w:tcPr>
          <w:p w:rsidR="009C5957" w:rsidRDefault="009C5957" w:rsidP="008E52A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958" w:type="dxa"/>
          </w:tcPr>
          <w:p w:rsidR="009C5957" w:rsidRDefault="009C5957" w:rsidP="008E52AE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70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771" w:type="dxa"/>
            <w:vAlign w:val="bottom"/>
          </w:tcPr>
          <w:p w:rsidR="009C5957" w:rsidRDefault="009C5957" w:rsidP="008E52AE">
            <w:pPr>
              <w:pStyle w:val="ConsPlusNormal"/>
              <w:jc w:val="right"/>
            </w:pPr>
            <w:r>
              <w:t>402,0</w:t>
            </w:r>
          </w:p>
        </w:tc>
      </w:tr>
    </w:tbl>
    <w:p w:rsidR="009C5957" w:rsidRDefault="009C5957" w:rsidP="009C5957">
      <w:pPr>
        <w:pStyle w:val="ConsPlusNormal"/>
        <w:jc w:val="both"/>
      </w:pPr>
    </w:p>
    <w:p w:rsidR="009C5957" w:rsidRDefault="009C5957" w:rsidP="009C5957">
      <w:pPr>
        <w:pStyle w:val="ConsPlusNormal"/>
        <w:jc w:val="both"/>
      </w:pPr>
    </w:p>
    <w:p w:rsidR="009C5957" w:rsidRDefault="009C5957" w:rsidP="009C5957">
      <w:pPr>
        <w:pStyle w:val="ConsPlusNormal"/>
        <w:jc w:val="both"/>
      </w:pPr>
    </w:p>
    <w:p w:rsidR="009C5957" w:rsidRDefault="009C5957" w:rsidP="009C5957">
      <w:pPr>
        <w:pStyle w:val="ConsPlusNormal"/>
        <w:jc w:val="both"/>
      </w:pPr>
    </w:p>
    <w:p w:rsidR="009C5957" w:rsidRDefault="009C5957" w:rsidP="009C5957">
      <w:pPr>
        <w:pStyle w:val="ConsPlusNormal"/>
        <w:jc w:val="both"/>
      </w:pPr>
    </w:p>
    <w:p w:rsidR="009C169E" w:rsidRDefault="009C169E">
      <w:bookmarkStart w:id="1" w:name="_GoBack"/>
      <w:bookmarkEnd w:id="1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57"/>
    <w:rsid w:val="009C169E"/>
    <w:rsid w:val="009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5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59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4836&amp;dst=100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2024-07-22T00:42:00Z</dcterms:created>
  <dcterms:modified xsi:type="dcterms:W3CDTF">2024-07-22T00:42:00Z</dcterms:modified>
</cp:coreProperties>
</file>